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50"/>
        </w:rPr>
        <w:t>Primary Research Links for Peptide Case Studies</w:t>
      </w:r>
    </w:p>
    <w:p>
      <w:pPr>
        <w:jc w:val="center"/>
      </w:pPr>
      <w:r>
        <w:rPr>
          <w:i/>
          <w:sz w:val="22"/>
        </w:rPr>
        <w:t>Direct research sources supporting the evidence discussions in the Case Studies in Peptide Therapeutics guide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8"/>
          </w:tcPr>
          <w:p>
            <w:r>
              <w:rPr>
                <w:b/>
              </w:rPr>
              <w:t xml:space="preserve">Reading note: </w:t>
            </w:r>
            <w:r>
              <w:t>The links below lead primarily to PubMed records or original journal articles. A study's presence in this document does not mean that it proves every benefit associated with the peptide. Study design, population, outcomes, and limitations must be considered.</w:t>
            </w:r>
          </w:p>
        </w:tc>
      </w:tr>
    </w:tbl>
    <w:p>
      <w:pPr>
        <w:pStyle w:val="Heading1"/>
      </w:pPr>
      <w:r>
        <w:t>Case Study 1: Semaglutide</w:t>
      </w:r>
    </w:p>
    <w:p>
      <w:r>
        <w:rPr>
          <w:b/>
        </w:rPr>
        <w:t xml:space="preserve">Primary research: </w:t>
      </w:r>
      <w:r>
        <w:t>Wilding, J. P. H., et al. (2021). Once-weekly semaglutide in adults with overweight or obesity. New England Journal of Medicine, 384, 989–1002. DOI: 10.1056/NEJMoa2032183.</w:t>
      </w:r>
    </w:p>
    <w:p>
      <w:r>
        <w:rPr>
          <w:b/>
        </w:rPr>
        <w:t xml:space="preserve">Relevance: </w:t>
      </w:r>
      <w:r>
        <w:t>STEP 1 randomized clinical trial; primary evidence for semaglutide and weight management.</w:t>
      </w:r>
    </w:p>
    <w:p>
      <w:hyperlink r:id="rId9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2: Tirzepatide</w:t>
      </w:r>
    </w:p>
    <w:p>
      <w:r>
        <w:rPr>
          <w:b/>
        </w:rPr>
        <w:t xml:space="preserve">Primary research: </w:t>
      </w:r>
      <w:r>
        <w:t>Jastreboff, A. M., et al. (2022). Tirzepatide once weekly for the treatment of obesity. New England Journal of Medicine, 387, 205–216. DOI: 10.1056/NEJMoa2206038.</w:t>
      </w:r>
    </w:p>
    <w:p>
      <w:r>
        <w:rPr>
          <w:b/>
        </w:rPr>
        <w:t xml:space="preserve">Relevance: </w:t>
      </w:r>
      <w:r>
        <w:t>SURMOUNT-1 phase 3 randomized controlled trial; major primary evidence for tirzepatide in obesity.</w:t>
      </w:r>
    </w:p>
    <w:p>
      <w:hyperlink r:id="rId10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3: Retatrutide</w:t>
      </w:r>
    </w:p>
    <w:p>
      <w:r>
        <w:rPr>
          <w:b/>
        </w:rPr>
        <w:t xml:space="preserve">Primary research: </w:t>
      </w:r>
      <w:r>
        <w:t>Jastreboff, A. M., et al. (2023). Triple-hormone-receptor agonist retatrutide for obesity—A phase 2 trial. New England Journal of Medicine, 389, 514–526. DOI: 10.1056/NEJMoa2301972.</w:t>
      </w:r>
    </w:p>
    <w:p>
      <w:r>
        <w:rPr>
          <w:b/>
        </w:rPr>
        <w:t xml:space="preserve">Relevance: </w:t>
      </w:r>
      <w:r>
        <w:t>Phase 2 randomized human trial evaluating retatrutide for obesity.</w:t>
      </w:r>
    </w:p>
    <w:p>
      <w:hyperlink r:id="rId11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4: Tesamorelin</w:t>
      </w:r>
    </w:p>
    <w:p>
      <w:r>
        <w:rPr>
          <w:b/>
        </w:rPr>
        <w:t xml:space="preserve">Primary research: </w:t>
      </w:r>
      <w:r>
        <w:t>Falutz, J., et al. (2007). Metabolic effects of a growth hormone-releasing factor in patients with HIV. New England Journal of Medicine, 357, 2359–2370. DOI: 10.1056/NEJMoa072375.</w:t>
      </w:r>
    </w:p>
    <w:p>
      <w:r>
        <w:rPr>
          <w:b/>
        </w:rPr>
        <w:t xml:space="preserve">Relevance: </w:t>
      </w:r>
      <w:r>
        <w:t>Randomized controlled trial supporting tesamorelin's effect on visceral adiposity in the studied HIV population.</w:t>
      </w:r>
    </w:p>
    <w:p>
      <w:hyperlink r:id="rId12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5: CJC-1295</w:t>
      </w:r>
    </w:p>
    <w:p>
      <w:r>
        <w:rPr>
          <w:b/>
        </w:rPr>
        <w:t xml:space="preserve">Primary research: </w:t>
      </w:r>
      <w:r>
        <w:t>Teichman, S. L., et al. (2006). Prolonged stimulation of growth hormone (GH) and insulin-like growth factor I secretion by CJC-1295, a long-acting analog of GH-releasing hormone, in healthy adults. Journal of Clinical Endocrinology &amp; Metabolism, 91(3), 799–805. DOI: 10.1210/jc.2005-1536.</w:t>
      </w:r>
    </w:p>
    <w:p>
      <w:r>
        <w:rPr>
          <w:b/>
        </w:rPr>
        <w:t xml:space="preserve">Relevance: </w:t>
      </w:r>
      <w:r>
        <w:t>Randomized placebo-controlled human pharmacology studies demonstrating sustained GH and IGF-1 changes; not proof of broad fitness or anti-aging outcomes.</w:t>
      </w:r>
    </w:p>
    <w:p>
      <w:hyperlink r:id="rId13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6: Ipamorelin — Human Pharmacology</w:t>
      </w:r>
    </w:p>
    <w:p>
      <w:r>
        <w:rPr>
          <w:b/>
        </w:rPr>
        <w:t xml:space="preserve">Primary research: </w:t>
      </w:r>
      <w:r>
        <w:t>Gobburu, J. V. S., et al. (1999). Pharmacokinetic-pharmacodynamic modeling of ipamorelin, a growth hormone releasing peptide, in human volunteers. Pharmaceutical Research, 16(9), 1412–1416. DOI: 10.1023/A:1018955126402.</w:t>
      </w:r>
    </w:p>
    <w:p>
      <w:r>
        <w:rPr>
          <w:b/>
        </w:rPr>
        <w:t xml:space="preserve">Relevance: </w:t>
      </w:r>
      <w:r>
        <w:t>Human pharmacokinetic/pharmacodynamic evidence for growth-hormone release.</w:t>
      </w:r>
    </w:p>
    <w:p>
      <w:hyperlink r:id="rId14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6: Ipamorelin — Clinical Outcome Trial</w:t>
      </w:r>
    </w:p>
    <w:p>
      <w:r>
        <w:rPr>
          <w:b/>
        </w:rPr>
        <w:t xml:space="preserve">Primary research: </w:t>
      </w:r>
      <w:r>
        <w:t>Beck, D. E., Sweeney, W. B., McCarter, M. D., &amp; Ipamorelin 201 Study Group. (2014). Prospective, randomized, controlled, proof-of-concept study of the ghrelin mimetic ipamorelin for the management of postoperative ileus in bowel resection patients. International Journal of Colorectal Disease, 29(12), 1527–1534. DOI: 10.1007/s00384-014-2030-8.</w:t>
      </w:r>
    </w:p>
    <w:p>
      <w:r>
        <w:rPr>
          <w:b/>
        </w:rPr>
        <w:t xml:space="preserve">Relevance: </w:t>
      </w:r>
      <w:r>
        <w:t>Useful counterexample showing why biological activity does not necessarily translate into a successful clinical endpoint.</w:t>
      </w:r>
    </w:p>
    <w:p>
      <w:hyperlink r:id="rId15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7: BPC-157</w:t>
      </w:r>
    </w:p>
    <w:p>
      <w:r>
        <w:rPr>
          <w:b/>
        </w:rPr>
        <w:t xml:space="preserve">Primary research: </w:t>
      </w:r>
      <w:r>
        <w:t>Lee, E., &amp; Burgess, K. (2025). Safety of intravenous infusion of BPC157 in humans: A pilot study. Alternative Therapies in Health and Medicine, 31(5), 20–24. PMID: 40131143.</w:t>
      </w:r>
    </w:p>
    <w:p>
      <w:r>
        <w:rPr>
          <w:b/>
        </w:rPr>
        <w:t xml:space="preserve">Relevance: </w:t>
      </w:r>
      <w:r>
        <w:t>Extremely small uncontrolled human safety pilot (two participants). It does not establish efficacy for injury healing or other widely promoted uses.</w:t>
      </w:r>
    </w:p>
    <w:p>
      <w:hyperlink r:id="rId16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8: Bremelanotide (PT-141)</w:t>
      </w:r>
    </w:p>
    <w:p>
      <w:r>
        <w:rPr>
          <w:b/>
        </w:rPr>
        <w:t xml:space="preserve">Primary research: </w:t>
      </w:r>
      <w:r>
        <w:t>Kingsberg, S. A., et al. (2019). Bremelanotide for the treatment of hypoactive sexual desire disorder: Two randomized phase 3 trials. Obstetrics &amp; Gynecology, 134(5), 899–908. DOI: 10.1097/AOG.0000000000003500.</w:t>
      </w:r>
    </w:p>
    <w:p>
      <w:r>
        <w:rPr>
          <w:b/>
        </w:rPr>
        <w:t xml:space="preserve">Relevance: </w:t>
      </w:r>
      <w:r>
        <w:t>Two randomized phase 3 trials supporting efficacy for the specifically studied population and indication.</w:t>
      </w:r>
    </w:p>
    <w:p>
      <w:hyperlink r:id="rId17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Case Study 9: GHK-Cu</w:t>
      </w:r>
    </w:p>
    <w:p>
      <w:r>
        <w:rPr>
          <w:b/>
        </w:rPr>
        <w:t xml:space="preserve">Primary research: </w:t>
      </w:r>
      <w:r>
        <w:t>Miller, T. R., Wagner, J. D., Baack, B. R., &amp; Eisbach, K. J. (2006). Effects of topical copper tripeptide complex on CO2 laser-resurfaced skin. Archives of Facial Plastic Surgery, 8(4), 252–259. DOI: 10.1001/archfaci.8.4.252.</w:t>
      </w:r>
    </w:p>
    <w:p>
      <w:r>
        <w:rPr>
          <w:b/>
        </w:rPr>
        <w:t xml:space="preserve">Relevance: </w:t>
      </w:r>
      <w:r>
        <w:t>Randomized topical study; useful for demonstrating that evidence for one formulation or route should not be generalized to injectable systemic use.</w:t>
      </w:r>
    </w:p>
    <w:p>
      <w:hyperlink r:id="rId18">
        <w:r>
          <w:rPr>
            <w:color w:val="0563C1"/>
            <w:u w:val="single"/>
          </w:rPr>
          <w:t>Open study in PubMed</w:t>
        </w:r>
      </w:hyperlink>
    </w:p>
    <w:p>
      <w:pPr>
        <w:pStyle w:val="Heading1"/>
      </w:pPr>
      <w:r>
        <w:t>Additional Primary Research</w:t>
      </w:r>
    </w:p>
    <w:p>
      <w:pPr>
        <w:pStyle w:val="ListBullet"/>
      </w:pPr>
      <w:hyperlink r:id="rId19">
        <w:r>
          <w:rPr>
            <w:color w:val="0563C1"/>
            <w:u w:val="single"/>
          </w:rPr>
          <w:t>Retatrutide in type 2 diabetes — Rosenstock et al. (2023), The Lancet</w:t>
        </w:r>
      </w:hyperlink>
    </w:p>
    <w:p>
      <w:pPr>
        <w:pStyle w:val="ListBullet"/>
      </w:pPr>
      <w:hyperlink r:id="rId20">
        <w:r>
          <w:rPr>
            <w:color w:val="0563C1"/>
            <w:u w:val="single"/>
          </w:rPr>
          <w:t>CJC-1295 and GH pulsatility — Ionescu &amp; Frohman (2006)</w:t>
        </w:r>
      </w:hyperlink>
    </w:p>
    <w:p>
      <w:pPr>
        <w:pStyle w:val="ListBullet"/>
      </w:pPr>
      <w:hyperlink r:id="rId21">
        <w:r>
          <w:rPr>
            <w:color w:val="0563C1"/>
            <w:u w:val="single"/>
          </w:rPr>
          <w:t>Long-term bremelanotide safety and efficacy — Simon et al. (2019)</w:t>
        </w:r>
      </w:hyperlink>
    </w:p>
    <w:p>
      <w:pPr>
        <w:pStyle w:val="Heading1"/>
      </w:pPr>
      <w:r>
        <w:t>How These Sources Should Be Used</w:t>
      </w:r>
    </w:p>
    <w:p>
      <w:pPr>
        <w:pStyle w:val="ListBullet"/>
      </w:pPr>
      <w:r>
        <w:t>Match the study to the exact peptide, formulation, population, and claimed benefit.</w:t>
      </w:r>
    </w:p>
    <w:p>
      <w:pPr>
        <w:pStyle w:val="ListBullet"/>
      </w:pPr>
      <w:r>
        <w:t>Distinguish clinical outcomes from hormone levels, biomarkers, or receptor activity.</w:t>
      </w:r>
    </w:p>
    <w:p>
      <w:pPr>
        <w:pStyle w:val="ListBullet"/>
      </w:pPr>
      <w:r>
        <w:t>Do not generalize evidence from one route of administration to another.</w:t>
      </w:r>
    </w:p>
    <w:p>
      <w:pPr>
        <w:pStyle w:val="ListBullet"/>
      </w:pPr>
      <w:r>
        <w:t>Give randomized controlled trials greater evidentiary weight than uncontrolled pilots.</w:t>
      </w:r>
    </w:p>
    <w:p>
      <w:pPr>
        <w:pStyle w:val="ListBullet"/>
      </w:pPr>
      <w:r>
        <w:t>Include neutral and negative findings when evaluating overall efficacy.</w:t>
      </w:r>
    </w:p>
    <w:p>
      <w:pPr>
        <w:pStyle w:val="ListBullet"/>
      </w:pPr>
      <w:r>
        <w:t>For investigational peptides, describe uncertainty explicitly rather than presenting preliminary findings as established benefits.</w:t>
      </w:r>
    </w:p>
    <w:p>
      <w:r>
        <w:rPr>
          <w:b/>
        </w:rPr>
        <w:t xml:space="preserve">Educational disclaimer: </w:t>
      </w:r>
      <w:r>
        <w:t>This bibliography is provided for scientific education and literature review. It does not constitute medical advice or instructions for obtaining, preparing, dosing, combining, or administering peptide products.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ubmed.ncbi.nlm.nih.gov/33567185/" TargetMode="External"/><Relationship Id="rId10" Type="http://schemas.openxmlformats.org/officeDocument/2006/relationships/hyperlink" Target="https://pubmed.ncbi.nlm.nih.gov/35658024/" TargetMode="External"/><Relationship Id="rId11" Type="http://schemas.openxmlformats.org/officeDocument/2006/relationships/hyperlink" Target="https://pubmed.ncbi.nlm.nih.gov/37366315/" TargetMode="External"/><Relationship Id="rId12" Type="http://schemas.openxmlformats.org/officeDocument/2006/relationships/hyperlink" Target="https://pubmed.ncbi.nlm.nih.gov/18057338/" TargetMode="External"/><Relationship Id="rId13" Type="http://schemas.openxmlformats.org/officeDocument/2006/relationships/hyperlink" Target="https://pubmed.ncbi.nlm.nih.gov/16352683/" TargetMode="External"/><Relationship Id="rId14" Type="http://schemas.openxmlformats.org/officeDocument/2006/relationships/hyperlink" Target="https://pubmed.ncbi.nlm.nih.gov/10496658/" TargetMode="External"/><Relationship Id="rId15" Type="http://schemas.openxmlformats.org/officeDocument/2006/relationships/hyperlink" Target="https://pubmed.ncbi.nlm.nih.gov/25331030/" TargetMode="External"/><Relationship Id="rId16" Type="http://schemas.openxmlformats.org/officeDocument/2006/relationships/hyperlink" Target="https://pubmed.ncbi.nlm.nih.gov/40131143/" TargetMode="External"/><Relationship Id="rId17" Type="http://schemas.openxmlformats.org/officeDocument/2006/relationships/hyperlink" Target="https://pubmed.ncbi.nlm.nih.gov/31599840/" TargetMode="External"/><Relationship Id="rId18" Type="http://schemas.openxmlformats.org/officeDocument/2006/relationships/hyperlink" Target="https://pubmed.ncbi.nlm.nih.gov/16847171/" TargetMode="External"/><Relationship Id="rId19" Type="http://schemas.openxmlformats.org/officeDocument/2006/relationships/hyperlink" Target="https://pubmed.ncbi.nlm.nih.gov/37385280/" TargetMode="External"/><Relationship Id="rId20" Type="http://schemas.openxmlformats.org/officeDocument/2006/relationships/hyperlink" Target="https://pubmed.ncbi.nlm.nih.gov/17018654/" TargetMode="External"/><Relationship Id="rId21" Type="http://schemas.openxmlformats.org/officeDocument/2006/relationships/hyperlink" Target="https://pubmed.ncbi.nlm.nih.gov/3159984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