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sz w:val="52"/>
        </w:rPr>
        <w:t>An Educational Guide to Peptides</w:t>
      </w:r>
    </w:p>
    <w:p>
      <w:pPr>
        <w:jc w:val="center"/>
      </w:pPr>
      <w:r>
        <w:rPr>
          <w:i/>
          <w:sz w:val="22"/>
        </w:rPr>
        <w:t>Understanding peptide biology, therapeutic applications, research evidence, safety, and responsible interpretation</w:t>
      </w:r>
    </w:p>
    <w:tbl>
      <w:tblPr>
        <w:tblW w:type="auto" w:w="0"/>
        <w:tblLook w:firstColumn="1" w:firstRow="1" w:lastColumn="0" w:lastRow="0" w:noHBand="0" w:noVBand="1" w:val="04A0"/>
      </w:tblPr>
      <w:tblGrid>
        <w:gridCol w:w="9936"/>
      </w:tblGrid>
      <w:tr>
        <w:tc>
          <w:tcPr>
            <w:tcW w:type="dxa" w:w="9936"/>
            <w:shd w:fill="EAF2F8"/>
          </w:tcPr>
          <w:p>
            <w:r>
              <w:t>Learning objective: By the end of this guide, readers should be able to explain what peptides are, distinguish approved peptide medicines from investigational compounds, interpret common peptide claims, and evaluate evidence without confusing biological plausibility with proven clinical benefit.</w:t>
            </w:r>
          </w:p>
        </w:tc>
      </w:tr>
    </w:tbl>
    <w:p>
      <w:pPr>
        <w:pStyle w:val="Heading1"/>
      </w:pPr>
      <w:r>
        <w:t>1. What Are Peptides?</w:t>
      </w:r>
    </w:p>
    <w:p>
      <w:r>
        <w:t>Peptides are short chains of amino acids joined by peptide bonds. Amino acids are the building blocks of both peptides and proteins. Although the boundary is not absolute, peptides are generally smaller than proteins and may function as hormones, neurotransmitters, signaling molecules, antimicrobial agents, or components of larger biological systems.</w:t>
      </w:r>
    </w:p>
    <w:p>
      <w:r>
        <w:t>Because peptide sequence and three-dimensional shape influence receptor binding, even small structural changes can alter biological activity, duration, selectivity, and stability.</w:t>
      </w:r>
    </w:p>
    <w:p>
      <w:pPr>
        <w:pStyle w:val="Heading1"/>
      </w:pPr>
      <w:r>
        <w:t>2. How Peptides Work</w:t>
      </w:r>
    </w:p>
    <w:p>
      <w:r>
        <w:t>Many peptides act as biological messengers. A peptide may bind to a receptor on or inside a cell and initiate a signaling cascade. The resulting effect can influence appetite, glucose regulation, growth-hormone signaling, inflammation, vascular function, reproduction, digestion, or other physiological processes.</w:t>
      </w:r>
    </w:p>
    <w:p>
      <w:r>
        <w:t>Receptor activity is only the beginning of the evidence chain. Demonstrating receptor binding or a change in a hormone level does not automatically prove that a peptide improves a meaningful clinical outcome.</w:t>
      </w:r>
    </w:p>
    <w:p>
      <w:pPr>
        <w:pStyle w:val="Heading1"/>
      </w:pPr>
      <w:r>
        <w:t>3. Naturally Occurring and Therapeutic Peptides</w:t>
      </w:r>
    </w:p>
    <w:p>
      <w:r>
        <w:t>The human body naturally produces many peptides, including insulin, glucagon, oxytocin, and numerous signaling peptides. Modern medicines can reproduce natural peptides, modify them to last longer, or design analogs that selectively activate or block particular receptors.</w:t>
      </w:r>
    </w:p>
    <w:p>
      <w:r>
        <w:t>Examples of established peptide-based medicines include insulin products, glucagon products, semaglutide, tirzepatide, tesamorelin, and bremelanotide. Each has specific indications, formulations, safety considerations, and evidence.</w:t>
      </w:r>
    </w:p>
    <w:p>
      <w:pPr>
        <w:pStyle w:val="Heading1"/>
      </w:pPr>
      <w:r>
        <w:t>4. Major Categories of Peptides</w:t>
      </w:r>
    </w:p>
    <w:p>
      <w:r>
        <w:t>Metabolic peptides and peptide analogs can influence glucose regulation, appetite, satiety, and body weight. Examples discussed in modern medicine include GLP-1–based therapies and multi-receptor incretin agonists.</w:t>
      </w:r>
    </w:p>
    <w:p>
      <w:r>
        <w:t>Growth-hormone-axis compounds include growth hormone–releasing hormone analogs and secretagogues. Some have defined medical indications, while others are investigational or commonly marketed beyond the strength of available clinical evidence.</w:t>
      </w:r>
    </w:p>
    <w:p>
      <w:r>
        <w:t>Regenerative or recovery-oriented peptides are frequently promoted for tendon, muscle, skin, gastrointestinal, or wound healing. For several popular compounds, human clinical evidence is far less developed than online claims suggest.</w:t>
      </w:r>
    </w:p>
    <w:p>
      <w:r>
        <w:t>Other peptide therapeutics target sexual health, endocrine disorders, cancer, infectious disease, and rare conditions. Peptide science therefore extends far beyond fitness and weight management.</w:t>
      </w:r>
    </w:p>
    <w:p>
      <w:pPr>
        <w:pStyle w:val="Heading1"/>
      </w:pPr>
      <w:r>
        <w:t>5. Approved, Off-Label, Compounded, and Investigational</w:t>
      </w:r>
    </w:p>
    <w:p>
      <w:r>
        <w:t>FDA-approved peptide medicines have undergone regulatory review for specific products and indications. Approval does not mean a drug is risk-free, and it does not automatically validate every off-label use or every product containing a similarly named peptide.</w:t>
      </w:r>
    </w:p>
    <w:p>
      <w:r>
        <w:t>Off-label use refers to prescribing an approved medication in a manner not included in its approved labeling. Compounded products are prepared under a different regulatory framework and are not the same as FDA-approved finished drug products. Investigational compounds remain under study and should not be described as established therapies simply because early results are promising.</w:t>
      </w:r>
    </w:p>
    <w:p>
      <w:r>
        <w:t>Products labeled 'research use only' should not be treated as equivalent to medications manufactured and distributed under the standards governing approved human drugs.</w:t>
      </w:r>
    </w:p>
    <w:p>
      <w:pPr>
        <w:pStyle w:val="Heading1"/>
      </w:pPr>
      <w:r>
        <w:t>6. Understanding Evidence</w:t>
      </w:r>
    </w:p>
    <w:p>
      <w:r>
        <w:t>Evidence should be evaluated as a hierarchy. Randomized controlled human trials generally provide stronger evidence for therapeutic efficacy than uncontrolled studies, case reports, animal experiments, cell studies, or anecdotes.</w:t>
      </w:r>
    </w:p>
    <w:p>
      <w:r>
        <w:t>A well-designed study should be evaluated for sample size, comparison group, randomization, blinding, duration, participant characteristics, meaningful outcomes, adverse events, statistical methods, attrition, funding, and limitations.</w:t>
      </w:r>
    </w:p>
    <w:p>
      <w:r>
        <w:t>Primary research reports original study results. Systematic reviews and meta-analyses can synthesize multiple studies, while regulatory documents help establish approved indications and known safety information.</w:t>
      </w:r>
    </w:p>
    <w:p>
      <w:pPr>
        <w:pStyle w:val="Heading1"/>
      </w:pPr>
      <w:r>
        <w:t>7. Mechanism vs. Benefit</w:t>
      </w:r>
    </w:p>
    <w:p>
      <w:r>
        <w:t>A mechanism explains how a compound may produce an effect. A clinical benefit demonstrates that the effect actually improves an outcome that matters in humans. These are not interchangeable.</w:t>
      </w:r>
    </w:p>
    <w:p>
      <w:r>
        <w:t>For example, a compound that increases growth hormone or IGF-1 has demonstrated an endocrine effect. That alone does not prove increased muscle mass, faster injury recovery, reduced body fat, improved sleep, or longer life. Those claims require direct clinical evidence.</w:t>
      </w:r>
    </w:p>
    <w:p>
      <w:pPr>
        <w:pStyle w:val="Heading1"/>
      </w:pPr>
      <w:r>
        <w:t>8. Commonly Discussed Peptides</w:t>
      </w:r>
    </w:p>
    <w:p>
      <w:r>
        <w:t>Semaglutide: A GLP-1 receptor agonist with substantial clinical evidence for defined metabolic and weight-management indications.</w:t>
      </w:r>
    </w:p>
    <w:p>
      <w:r>
        <w:t>Tirzepatide: A dual GIP/GLP-1 receptor agonist supported by large clinical trials for defined indications.</w:t>
      </w:r>
    </w:p>
    <w:p>
      <w:r>
        <w:t>Retatrutide: A GIP/GLP-1/glucagon receptor agonist studied in clinical trials. Promising results should be interpreted in the context of its investigational development status.</w:t>
      </w:r>
    </w:p>
    <w:p>
      <w:r>
        <w:t>Tesamorelin: A growth hormone–releasing hormone analog with a specific established clinical indication involving excess visceral abdominal fat in adults with HIV-associated lipodystrophy.</w:t>
      </w:r>
    </w:p>
    <w:p>
      <w:r>
        <w:t>CJC-1295 and ipamorelin: Compounds associated with growth-hormone signaling. Human pharmacology evidence exists, but many wellness, recovery, bodybuilding, and anti-aging claims exceed established clinical evidence.</w:t>
      </w:r>
    </w:p>
    <w:p>
      <w:r>
        <w:t>BPC-157: Widely promoted for tissue and gastrointestinal healing, but human evidence remains extremely limited compared with the volume of preclinical and anecdotal claims.</w:t>
      </w:r>
    </w:p>
    <w:p>
      <w:r>
        <w:t>GHK-Cu: A copper-binding peptide studied particularly in skin and cellular biology. Evidence depends strongly on formulation and route; topical findings cannot simply be extrapolated to injectable use.</w:t>
      </w:r>
    </w:p>
    <w:p>
      <w:r>
        <w:t>Bremelanotide (PT-141): A melanocortin receptor agonist with clinical evidence and an approved indication in a defined patient population.</w:t>
      </w:r>
    </w:p>
    <w:p>
      <w:pPr>
        <w:pStyle w:val="Heading1"/>
      </w:pPr>
      <w:r>
        <w:t>9. Purity, Identity, and Product Quality</w:t>
      </w:r>
    </w:p>
    <w:p>
      <w:r>
        <w:t>A laboratory purity percentage answers only part of the quality question. A high chromatographic purity result does not by itself establish that a vial contains the correct compound at the stated concentration or that it is sterile, free of endotoxin, stable, or suitable for human use.</w:t>
      </w:r>
    </w:p>
    <w:p>
      <w:r>
        <w:t>Important quality concepts include identity, purity, content or concentration, potency, sterility, endotoxin testing, stability, storage, and manufacturing controls. These measurements answer different questions and should not be treated as interchangeable.</w:t>
      </w:r>
    </w:p>
    <w:p>
      <w:pPr>
        <w:pStyle w:val="Heading1"/>
      </w:pPr>
      <w:r>
        <w:t>10. Safety and Risk</w:t>
      </w:r>
    </w:p>
    <w:p>
      <w:r>
        <w:t>Peptides can cause adverse effects because they are biologically active. Risks depend on the compound, dose, route, duration, medical history, concurrent medications, and product quality.</w:t>
      </w:r>
    </w:p>
    <w:p>
      <w:r>
        <w:t>Approved medications have prescribing information describing known adverse effects, contraindications, warnings, and monitoring considerations. Investigational compounds may have substantial unknowns, particularly regarding uncommon events, long-term exposure, interactions, fertility, cancer-related risks, or effects in populations not represented in trials.</w:t>
      </w:r>
    </w:p>
    <w:p>
      <w:r>
        <w:t>Injection also introduces risks unrelated to the peptide's molecular mechanism, including contamination, infection, dosing errors, and product-quality failures.</w:t>
      </w:r>
    </w:p>
    <w:p>
      <w:pPr>
        <w:pStyle w:val="Heading1"/>
      </w:pPr>
      <w:r>
        <w:t>11. How to Evaluate a Peptide Claim</w:t>
      </w:r>
    </w:p>
    <w:p>
      <w:r>
        <w:t>Start with the exact claim: What is the peptide supposed to do? Then ask whether that outcome has been demonstrated in humans using the same compound, route, and relevant population.</w:t>
      </w:r>
    </w:p>
    <w:p>
      <w:r>
        <w:t>Look for original clinical research rather than relying on testimonials or vendor summaries. Determine whether the evidence measures a meaningful clinical outcome or merely a biomarker. Check whether the compound is approved, off-label, compounded, or investigational. Finally, examine harms and uncertainty alongside potential benefits.</w:t>
      </w:r>
    </w:p>
    <w:p>
      <w:pPr>
        <w:pStyle w:val="Heading1"/>
      </w:pPr>
      <w:r>
        <w:t>12. Red Flags in Peptide Information</w:t>
      </w:r>
    </w:p>
    <w:p>
      <w:r>
        <w:t>Be cautious when a source promises rapid healing, fat loss, muscle growth, anti-aging, immune enhancement, and improved cognition from the same compound without high-quality human evidence.</w:t>
      </w:r>
    </w:p>
    <w:p>
      <w:r>
        <w:t>Other warning signs include relying almost entirely on animal studies, treating testimonials as proof, claiming that 'natural' means safe, using purity percentages as proof of medical-grade quality, presenting investigational compounds as approved treatments, or implying that related peptides have interchangeable effects.</w:t>
      </w:r>
    </w:p>
    <w:p>
      <w:pPr>
        <w:pStyle w:val="Heading1"/>
      </w:pPr>
      <w:r>
        <w:t>13. Peptide Research Methodology</w:t>
      </w:r>
    </w:p>
    <w:p>
      <w:r>
        <w:t>A rigorous peptide review defines a specific research question, identifies the exact compound, searches reputable databases, prioritizes primary human research, grades study quality, evaluates safety, verifies regulatory status, and synthesizes positive, neutral, and negative evidence.</w:t>
      </w:r>
    </w:p>
    <w:p>
      <w:r>
        <w:t>The strength of the final claim should never exceed the strength of the evidence supporting it.</w:t>
      </w:r>
    </w:p>
    <w:p>
      <w:pPr>
        <w:pStyle w:val="Heading1"/>
      </w:pPr>
      <w:r>
        <w:t>14. Key Takeaways</w:t>
      </w:r>
    </w:p>
    <w:p>
      <w:r>
        <w:t>Peptides are biologically important molecules with legitimate and expanding roles in medicine. Some peptide-based therapies are supported by extensive human clinical evidence; others remain experimental.</w:t>
      </w:r>
    </w:p>
    <w:p>
      <w:r>
        <w:t>Understanding receptor mechanisms is useful, but clinical outcomes determine whether a proposed benefit is established. Route, formulation, indication, population, and product quality all matter.</w:t>
      </w:r>
    </w:p>
    <w:p>
      <w:r>
        <w:t>The most reliable approach is neither to dismiss peptides as a category nor to assume that every promising peptide works. Each compound and claim should be evaluated independently using the best available evidence.</w:t>
      </w:r>
    </w:p>
    <w:p>
      <w:pPr>
        <w:pStyle w:val="Heading1"/>
      </w:pPr>
      <w:r>
        <w:t>15. Evidence Classification Quick Reference</w:t>
      </w:r>
    </w:p>
    <w:tbl>
      <w:tblPr>
        <w:tblStyle w:val="TableGrid"/>
        <w:tblW w:type="auto" w:w="0"/>
        <w:jc w:val="center"/>
        <w:tblLook w:firstColumn="1" w:firstRow="1" w:lastColumn="0" w:lastRow="0" w:noHBand="0" w:noVBand="1" w:val="04A0"/>
      </w:tblPr>
      <w:tblGrid>
        <w:gridCol w:w="4968"/>
        <w:gridCol w:w="4968"/>
      </w:tblGrid>
      <w:tr>
        <w:tc>
          <w:tcPr>
            <w:tcW w:type="dxa" w:w="4968"/>
          </w:tcPr>
          <w:p>
            <w:r>
              <w:t>Classification</w:t>
            </w:r>
          </w:p>
        </w:tc>
        <w:tc>
          <w:tcPr>
            <w:tcW w:type="dxa" w:w="4968"/>
          </w:tcPr>
          <w:p>
            <w:r>
              <w:t>Meaning</w:t>
            </w:r>
          </w:p>
        </w:tc>
      </w:tr>
      <w:tr>
        <w:tc>
          <w:tcPr>
            <w:tcW w:type="dxa" w:w="4968"/>
          </w:tcPr>
          <w:p>
            <w:r>
              <w:t>Strong</w:t>
            </w:r>
          </w:p>
        </w:tc>
        <w:tc>
          <w:tcPr>
            <w:tcW w:type="dxa" w:w="4968"/>
          </w:tcPr>
          <w:p>
            <w:r>
              <w:t>Substantial high-quality human evidence supports a defined clinical use.</w:t>
            </w:r>
          </w:p>
        </w:tc>
      </w:tr>
      <w:tr>
        <w:tc>
          <w:tcPr>
            <w:tcW w:type="dxa" w:w="4968"/>
          </w:tcPr>
          <w:p>
            <w:r>
              <w:t>Moderate</w:t>
            </w:r>
          </w:p>
        </w:tc>
        <w:tc>
          <w:tcPr>
            <w:tcW w:type="dxa" w:w="4968"/>
          </w:tcPr>
          <w:p>
            <w:r>
              <w:t>Human evidence supports the claim, but important limitations remain.</w:t>
            </w:r>
          </w:p>
        </w:tc>
      </w:tr>
      <w:tr>
        <w:tc>
          <w:tcPr>
            <w:tcW w:type="dxa" w:w="4968"/>
          </w:tcPr>
          <w:p>
            <w:r>
              <w:t>Promising / Investigational</w:t>
            </w:r>
          </w:p>
        </w:tc>
        <w:tc>
          <w:tcPr>
            <w:tcW w:type="dxa" w:w="4968"/>
          </w:tcPr>
          <w:p>
            <w:r>
              <w:t>Early human trials are encouraging, but efficacy or safety is not fully established.</w:t>
            </w:r>
          </w:p>
        </w:tc>
      </w:tr>
      <w:tr>
        <w:tc>
          <w:tcPr>
            <w:tcW w:type="dxa" w:w="4968"/>
          </w:tcPr>
          <w:p>
            <w:r>
              <w:t>Preliminary</w:t>
            </w:r>
          </w:p>
        </w:tc>
        <w:tc>
          <w:tcPr>
            <w:tcW w:type="dxa" w:w="4968"/>
          </w:tcPr>
          <w:p>
            <w:r>
              <w:t>Limited human data provide an early signal requiring confirmation.</w:t>
            </w:r>
          </w:p>
        </w:tc>
      </w:tr>
      <w:tr>
        <w:tc>
          <w:tcPr>
            <w:tcW w:type="dxa" w:w="4968"/>
          </w:tcPr>
          <w:p>
            <w:r>
              <w:t>Preclinical</w:t>
            </w:r>
          </w:p>
        </w:tc>
        <w:tc>
          <w:tcPr>
            <w:tcW w:type="dxa" w:w="4968"/>
          </w:tcPr>
          <w:p>
            <w:r>
              <w:t>Evidence is primarily from animal or laboratory studies.</w:t>
            </w:r>
          </w:p>
        </w:tc>
      </w:tr>
      <w:tr>
        <w:tc>
          <w:tcPr>
            <w:tcW w:type="dxa" w:w="4968"/>
          </w:tcPr>
          <w:p>
            <w:r>
              <w:t>Insufficient / Mixed</w:t>
            </w:r>
          </w:p>
        </w:tc>
        <w:tc>
          <w:tcPr>
            <w:tcW w:type="dxa" w:w="4968"/>
          </w:tcPr>
          <w:p>
            <w:r>
              <w:t>Available evidence is inadequate, inconsistent, or negative for the claimed benefit.</w:t>
            </w:r>
          </w:p>
        </w:tc>
      </w:tr>
    </w:tbl>
    <w:p>
      <w:pPr>
        <w:pStyle w:val="Heading1"/>
      </w:pPr>
      <w:r>
        <w:t>16. Reliable Places to Continue Learning</w:t>
      </w:r>
    </w:p>
    <w:p>
      <w:pPr>
        <w:pStyle w:val="ListBullet"/>
      </w:pPr>
      <w:r>
        <w:t>PubMed/MEDLINE — peer-reviewed biomedical literature.</w:t>
      </w:r>
    </w:p>
    <w:p>
      <w:pPr>
        <w:pStyle w:val="ListBullet"/>
      </w:pPr>
      <w:r>
        <w:t>ClinicalTrials.gov — registered and reported clinical studies.</w:t>
      </w:r>
    </w:p>
    <w:p>
      <w:pPr>
        <w:pStyle w:val="ListBullet"/>
      </w:pPr>
      <w:r>
        <w:t>U.S. Food and Drug Administration (FDA) — approvals, labels, safety communications, and regulatory information.</w:t>
      </w:r>
    </w:p>
    <w:p>
      <w:pPr>
        <w:pStyle w:val="ListBullet"/>
      </w:pPr>
      <w:r>
        <w:t>Original peer-reviewed journal articles — especially randomized controlled trials and well-designed human studies.</w:t>
      </w:r>
    </w:p>
    <w:tbl>
      <w:tblPr>
        <w:tblW w:type="auto" w:w="0"/>
        <w:tblLook w:firstColumn="1" w:firstRow="1" w:lastColumn="0" w:lastRow="0" w:noHBand="0" w:noVBand="1" w:val="04A0"/>
      </w:tblPr>
      <w:tblGrid>
        <w:gridCol w:w="9936"/>
      </w:tblGrid>
      <w:tr>
        <w:tc>
          <w:tcPr>
            <w:tcW w:type="dxa" w:w="9936"/>
            <w:shd w:fill="FFF2CC"/>
          </w:tcPr>
          <w:p>
            <w:r>
              <w:t>Educational disclaimer: This guide is intended for scientific and health education. It is not individualized medical advice and does not provide instructions for obtaining, dosing, reconstituting, combining, or administering peptide products.</w:t>
            </w:r>
          </w:p>
        </w:tc>
      </w:tr>
    </w:tbl>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